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5E" w:rsidRPr="00576FB3" w:rsidRDefault="00064C5E" w:rsidP="00064C5E">
      <w:pPr>
        <w:ind w:left="4536" w:firstLine="567"/>
        <w:jc w:val="right"/>
        <w:rPr>
          <w:szCs w:val="28"/>
        </w:rPr>
      </w:pPr>
      <w:r w:rsidRPr="00576FB3">
        <w:rPr>
          <w:szCs w:val="28"/>
        </w:rPr>
        <w:t>Приложение  6                                                        к решению Совета Гаврил</w:t>
      </w:r>
      <w:r w:rsidRPr="00576FB3">
        <w:rPr>
          <w:szCs w:val="28"/>
        </w:rPr>
        <w:t>о</w:t>
      </w:r>
      <w:r w:rsidRPr="00576FB3">
        <w:rPr>
          <w:szCs w:val="28"/>
        </w:rPr>
        <w:t>во-Посадского городского поселения</w:t>
      </w:r>
    </w:p>
    <w:p w:rsidR="00064C5E" w:rsidRPr="00576FB3" w:rsidRDefault="00064C5E" w:rsidP="00064C5E">
      <w:pPr>
        <w:ind w:left="567"/>
        <w:jc w:val="right"/>
        <w:rPr>
          <w:szCs w:val="28"/>
        </w:rPr>
      </w:pPr>
      <w:r w:rsidRPr="00576FB3">
        <w:rPr>
          <w:szCs w:val="28"/>
        </w:rPr>
        <w:tab/>
      </w:r>
      <w:r w:rsidRPr="00576FB3">
        <w:rPr>
          <w:szCs w:val="28"/>
        </w:rPr>
        <w:tab/>
      </w:r>
      <w:r w:rsidRPr="00576FB3">
        <w:rPr>
          <w:szCs w:val="28"/>
        </w:rPr>
        <w:tab/>
        <w:t xml:space="preserve">                                 от 00.00.2023 г.  № 000</w:t>
      </w:r>
    </w:p>
    <w:p w:rsidR="00064C5E" w:rsidRPr="0018468A" w:rsidRDefault="00064C5E" w:rsidP="00064C5E">
      <w:pPr>
        <w:ind w:left="567" w:right="-1"/>
        <w:jc w:val="right"/>
        <w:rPr>
          <w:szCs w:val="28"/>
        </w:rPr>
      </w:pPr>
    </w:p>
    <w:p w:rsidR="00064C5E" w:rsidRPr="0018468A" w:rsidRDefault="00064C5E" w:rsidP="00064C5E">
      <w:pPr>
        <w:rPr>
          <w:sz w:val="24"/>
        </w:rPr>
      </w:pPr>
    </w:p>
    <w:p w:rsidR="00064C5E" w:rsidRPr="0018468A" w:rsidRDefault="00064C5E" w:rsidP="00064C5E">
      <w:pPr>
        <w:jc w:val="center"/>
        <w:rPr>
          <w:b/>
          <w:szCs w:val="28"/>
        </w:rPr>
      </w:pPr>
      <w:r w:rsidRPr="0018468A">
        <w:rPr>
          <w:b/>
          <w:szCs w:val="28"/>
        </w:rPr>
        <w:t xml:space="preserve">Ведомственная структура расходов бюджета Гаврилово-Посадского </w:t>
      </w:r>
    </w:p>
    <w:p w:rsidR="00064C5E" w:rsidRPr="0018468A" w:rsidRDefault="00064C5E" w:rsidP="00064C5E">
      <w:pPr>
        <w:jc w:val="center"/>
        <w:rPr>
          <w:b/>
          <w:szCs w:val="28"/>
        </w:rPr>
      </w:pPr>
      <w:r w:rsidRPr="0018468A">
        <w:rPr>
          <w:b/>
          <w:szCs w:val="28"/>
        </w:rPr>
        <w:t>г</w:t>
      </w:r>
      <w:r w:rsidRPr="0018468A">
        <w:rPr>
          <w:b/>
          <w:szCs w:val="28"/>
        </w:rPr>
        <w:t>о</w:t>
      </w:r>
      <w:r w:rsidRPr="0018468A">
        <w:rPr>
          <w:b/>
          <w:szCs w:val="28"/>
        </w:rPr>
        <w:t>родского поселения на 202</w:t>
      </w:r>
      <w:r>
        <w:rPr>
          <w:b/>
          <w:szCs w:val="28"/>
        </w:rPr>
        <w:t>4</w:t>
      </w:r>
      <w:r w:rsidRPr="0018468A">
        <w:rPr>
          <w:b/>
          <w:szCs w:val="28"/>
        </w:rPr>
        <w:t xml:space="preserve"> год</w:t>
      </w:r>
    </w:p>
    <w:p w:rsidR="00064C5E" w:rsidRDefault="00064C5E" w:rsidP="00064C5E">
      <w:pPr>
        <w:jc w:val="center"/>
        <w:rPr>
          <w:b/>
          <w:szCs w:val="28"/>
        </w:rPr>
      </w:pPr>
    </w:p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665"/>
        <w:gridCol w:w="1134"/>
        <w:gridCol w:w="1276"/>
        <w:gridCol w:w="1559"/>
        <w:gridCol w:w="1134"/>
        <w:gridCol w:w="1843"/>
      </w:tblGrid>
      <w:tr w:rsidR="00064C5E" w:rsidRPr="00576FB3" w:rsidTr="00F258B5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5E" w:rsidRPr="00576FB3" w:rsidRDefault="00064C5E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5E" w:rsidRPr="00576FB3" w:rsidRDefault="00064C5E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5E" w:rsidRPr="00576FB3" w:rsidRDefault="00064C5E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5E" w:rsidRPr="00576FB3" w:rsidRDefault="00064C5E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5E" w:rsidRPr="00576FB3" w:rsidRDefault="00064C5E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5E" w:rsidRPr="00576FB3" w:rsidRDefault="00064C5E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Сумма на 2024 год, руб.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5 598 207,00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 Резервный фонд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0910120150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межбюджетные трансферты бюджету Гаврилово-Посадского муниципального района в связи с передачей части полномочий по осуществлению внешнего муниципального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20900Б0020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113 925,00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межбюджетные трансферты бюджету Гаврилово-Посадского муниципального района по созданию условий для организации досуга и обеспечение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20900Г0010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2 474 209,00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01301Г0020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2 910 073,00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52 617 298,92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0140120010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160 800,00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Оформление права муниципальной собственности на объекты дорожного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0330120080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Прочие 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220 000,00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Уплата целевого взноса в Ассоциацию малых туристических городов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130 544,00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Предупреждение и ликвидация последствий чрезвычайных ситуаций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0420120100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0420120170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Организация транспортного обслуживания населения в черте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0520220230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576 000,00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0510100050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4 834 000,00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числе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05101S0510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8 070 237,93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Осуществление переданных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05101П5170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7 496,00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0320120050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помещений, расположенных в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0320120060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278 000,00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Содержание и ремонт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0320120070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0320120070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996 150,00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0710100140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300 838,00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Предоставление муниципальной услуги "Услуги бани" (Предоставление субсидий бюджетным, автономным учреждениям и иным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0720100100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60 800,00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0720100210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1 510 317,00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0720100220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456 115,00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Предоставление субсидий на конкурсной основе муниципальным унитарным предприятиям, оказывающим услуги водоснабжения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0730160030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Оказание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6 027 400,00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"Благоустройство территории общего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4 066 230,00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Взносы по обязательному социальному страхованию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1 228 001,00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Мероприятия по ликвидации стихийных свалок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0620190210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985 288,92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Оказание муниципальной услуги "Содержание и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0630100080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583 400,00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0630100170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199 230,00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0630100180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60 168,00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112F254240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непрограммные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608 934,96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 xml:space="preserve">         Иные непрограммные мероприятия в области благоустройства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Содержание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0650100070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636 600,00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2 602 674,00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0650100200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786 008,00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245 700,00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 Обеспечение деятельности МКУ "Гаврилово-Посадский краеведческий музей" (Расходы на выплаты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1 117 259,00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краеведческий музей"( 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467 700,00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краеведческий музей"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0120100120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99 500,00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01301L5191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23 342,11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Оказание муниципальной услуги "Организация массового культурного отдыха, стимулирование творческой активности и удовлетворение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0150100040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1 473 300,00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0150100230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4 014 259,00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0150100240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1 212 306,00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Организация и проведение межрегионального фестиваля "Июньская карусель"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0150120180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75 500,00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граждан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0820190200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60 200,00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Проведение физкультурных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0210120020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 xml:space="preserve">  Совет Гаврилово-Посадского городского поселения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5E" w:rsidRPr="00576FB3" w:rsidRDefault="00064C5E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31 500,00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18 500,00</w:t>
            </w:r>
          </w:p>
        </w:tc>
      </w:tr>
      <w:tr w:rsidR="00064C5E" w:rsidRPr="00576FB3" w:rsidTr="00F258B5">
        <w:trPr>
          <w:trHeight w:val="2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5E" w:rsidRPr="00576FB3" w:rsidRDefault="00064C5E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Прочие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064C5E" w:rsidRPr="00576FB3" w:rsidTr="00F258B5">
        <w:trPr>
          <w:trHeight w:val="20"/>
        </w:trPr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C5E" w:rsidRPr="00576FB3" w:rsidRDefault="00064C5E" w:rsidP="00F258B5">
            <w:pPr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C5E" w:rsidRPr="00576FB3" w:rsidRDefault="00064C5E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58 247 005,92</w:t>
            </w:r>
          </w:p>
        </w:tc>
      </w:tr>
    </w:tbl>
    <w:p w:rsidR="0026314F" w:rsidRDefault="00064C5E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76"/>
    <w:rsid w:val="0006266F"/>
    <w:rsid w:val="00064C5E"/>
    <w:rsid w:val="00231581"/>
    <w:rsid w:val="009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D75CC-3BD8-474B-A247-0BCF31CD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2059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2023-11-14T08:00:00Z</dcterms:created>
  <dcterms:modified xsi:type="dcterms:W3CDTF">2023-11-14T08:01:00Z</dcterms:modified>
</cp:coreProperties>
</file>